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AF" w:rsidRPr="00B64836" w:rsidRDefault="002D200E" w:rsidP="0027469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648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BỘ TÀI CHÍNH</w:t>
      </w:r>
    </w:p>
    <w:p w:rsidR="002D200E" w:rsidRPr="00B64836" w:rsidRDefault="002D200E" w:rsidP="0027469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48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CHƯƠNG TRÌNH HỘI NGHỊ</w:t>
      </w:r>
    </w:p>
    <w:p w:rsidR="002D200E" w:rsidRPr="00FB65E2" w:rsidRDefault="00433696" w:rsidP="00274692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  <w:r w:rsidRPr="00FB65E2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>N</w:t>
      </w:r>
      <w:r w:rsidR="00274692" w:rsidRPr="00FB65E2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gày 20</w:t>
      </w:r>
      <w:r w:rsidR="00457FAD" w:rsidRPr="00FB65E2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 xml:space="preserve"> tháng 8 năm </w:t>
      </w:r>
      <w:r w:rsidR="00274692" w:rsidRPr="00FB65E2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2024</w:t>
      </w:r>
      <w:r w:rsidRPr="00FB65E2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</w:p>
    <w:p w:rsidR="00494D39" w:rsidRPr="00FB65E2" w:rsidRDefault="00494D39" w:rsidP="00274692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D45C7C" w:rsidRPr="00A365CF" w:rsidRDefault="005C58FB" w:rsidP="00FB65E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</w:pPr>
      <w:proofErr w:type="gramStart"/>
      <w:r w:rsidRPr="00A365CF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Sáng</w:t>
      </w:r>
      <w:r w:rsidR="00EE2432" w:rsidRPr="00A365CF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: </w:t>
      </w:r>
      <w:r w:rsidR="00EE2432" w:rsidRPr="00A365CF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Triển khai</w:t>
      </w:r>
      <w:r w:rsidR="004D5BC5" w:rsidRPr="00A365CF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en-US"/>
        </w:rPr>
        <w:t xml:space="preserve"> </w:t>
      </w:r>
      <w:r w:rsidR="00EE2432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quy định</w:t>
      </w:r>
      <w:r w:rsidR="00EE2432" w:rsidRPr="00A365CF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r w:rsidR="00EE2432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về tiền sử dụng đất, tiền thuê đất</w:t>
      </w:r>
      <w:r w:rsidR="004D5BC5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và </w:t>
      </w:r>
      <w:r w:rsidR="00EE2432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Quỹ phát triển đất</w:t>
      </w:r>
      <w:r w:rsidR="00EE2432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.</w:t>
      </w:r>
      <w:proofErr w:type="gramEnd"/>
    </w:p>
    <w:p w:rsidR="00FB65E2" w:rsidRPr="00FB65E2" w:rsidRDefault="00FB65E2" w:rsidP="00FB65E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1985"/>
        <w:gridCol w:w="4962"/>
        <w:gridCol w:w="2693"/>
      </w:tblGrid>
      <w:tr w:rsidR="002D200E" w:rsidRPr="00FB65E2" w:rsidTr="001F572B">
        <w:trPr>
          <w:trHeight w:val="247"/>
        </w:trPr>
        <w:tc>
          <w:tcPr>
            <w:tcW w:w="1985" w:type="dxa"/>
          </w:tcPr>
          <w:p w:rsidR="002D200E" w:rsidRPr="00FB65E2" w:rsidRDefault="002D200E" w:rsidP="002746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4962" w:type="dxa"/>
          </w:tcPr>
          <w:p w:rsidR="002D200E" w:rsidRPr="00FB65E2" w:rsidRDefault="002D200E" w:rsidP="002746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693" w:type="dxa"/>
          </w:tcPr>
          <w:p w:rsidR="002D200E" w:rsidRPr="00FB65E2" w:rsidRDefault="002D200E" w:rsidP="002746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 hiện</w:t>
            </w:r>
          </w:p>
        </w:tc>
      </w:tr>
      <w:tr w:rsidR="002D200E" w:rsidRPr="00FB65E2" w:rsidTr="001F572B">
        <w:trPr>
          <w:trHeight w:val="408"/>
        </w:trPr>
        <w:tc>
          <w:tcPr>
            <w:tcW w:w="1985" w:type="dxa"/>
            <w:vAlign w:val="center"/>
          </w:tcPr>
          <w:p w:rsidR="002D200E" w:rsidRPr="00FB65E2" w:rsidRDefault="00F80CBE" w:rsidP="00F80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="002D200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2D200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– 8h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  <w:tc>
          <w:tcPr>
            <w:tcW w:w="4962" w:type="dxa"/>
            <w:vAlign w:val="center"/>
          </w:tcPr>
          <w:p w:rsidR="002D200E" w:rsidRPr="00FB65E2" w:rsidRDefault="002D200E" w:rsidP="0027469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 tiếp đại biểu</w:t>
            </w:r>
          </w:p>
        </w:tc>
        <w:tc>
          <w:tcPr>
            <w:tcW w:w="2693" w:type="dxa"/>
            <w:vAlign w:val="center"/>
          </w:tcPr>
          <w:p w:rsidR="002D200E" w:rsidRPr="00FB65E2" w:rsidRDefault="002D200E" w:rsidP="007E0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 Tổ chức</w:t>
            </w:r>
          </w:p>
        </w:tc>
      </w:tr>
      <w:tr w:rsidR="002D200E" w:rsidRPr="00FB65E2" w:rsidTr="001F572B">
        <w:tc>
          <w:tcPr>
            <w:tcW w:w="1985" w:type="dxa"/>
            <w:vAlign w:val="center"/>
          </w:tcPr>
          <w:p w:rsidR="002D200E" w:rsidRPr="00FB65E2" w:rsidRDefault="002D200E" w:rsidP="00F80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8h</w:t>
            </w:r>
            <w:r w:rsidR="00F80CB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0D1BBF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8h</w:t>
            </w:r>
            <w:r w:rsidR="00F80CB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05</w:t>
            </w:r>
          </w:p>
        </w:tc>
        <w:tc>
          <w:tcPr>
            <w:tcW w:w="4962" w:type="dxa"/>
            <w:vAlign w:val="center"/>
          </w:tcPr>
          <w:p w:rsidR="002D200E" w:rsidRPr="00FB65E2" w:rsidRDefault="002D200E" w:rsidP="0027469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 bố lý do</w:t>
            </w:r>
            <w:r w:rsidR="000D1BBF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giới thiệu Đại biểu</w:t>
            </w:r>
          </w:p>
        </w:tc>
        <w:tc>
          <w:tcPr>
            <w:tcW w:w="2693" w:type="dxa"/>
            <w:vAlign w:val="center"/>
          </w:tcPr>
          <w:p w:rsidR="002D200E" w:rsidRPr="00FB65E2" w:rsidRDefault="000D1BBF" w:rsidP="007A3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</w:t>
            </w:r>
            <w:r w:rsidR="0003798E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Văn phòng Bộ/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Cục Quản lý công sản</w:t>
            </w:r>
          </w:p>
        </w:tc>
      </w:tr>
      <w:tr w:rsidR="002D200E" w:rsidRPr="00FB65E2" w:rsidTr="001F572B">
        <w:trPr>
          <w:trHeight w:val="435"/>
        </w:trPr>
        <w:tc>
          <w:tcPr>
            <w:tcW w:w="1985" w:type="dxa"/>
            <w:vAlign w:val="center"/>
          </w:tcPr>
          <w:p w:rsidR="002D200E" w:rsidRPr="00FB65E2" w:rsidRDefault="000D1BBF" w:rsidP="00F80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8h0</w:t>
            </w:r>
            <w:r w:rsidR="00F80CB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F80CB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F80CB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962" w:type="dxa"/>
            <w:vAlign w:val="center"/>
          </w:tcPr>
          <w:p w:rsidR="002D200E" w:rsidRPr="00FB65E2" w:rsidRDefault="000D1BBF" w:rsidP="0027469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Khai mạc hội nghị</w:t>
            </w:r>
          </w:p>
        </w:tc>
        <w:tc>
          <w:tcPr>
            <w:tcW w:w="2693" w:type="dxa"/>
            <w:vAlign w:val="center"/>
          </w:tcPr>
          <w:p w:rsidR="002D200E" w:rsidRPr="00FB65E2" w:rsidRDefault="000D1BBF" w:rsidP="007A3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Bộ Tài chính</w:t>
            </w:r>
          </w:p>
        </w:tc>
      </w:tr>
      <w:tr w:rsidR="000D1BBF" w:rsidRPr="00FB65E2" w:rsidTr="001F572B">
        <w:tc>
          <w:tcPr>
            <w:tcW w:w="1985" w:type="dxa"/>
            <w:vAlign w:val="center"/>
          </w:tcPr>
          <w:p w:rsidR="000D1BBF" w:rsidRPr="00FB65E2" w:rsidRDefault="00F80CBE" w:rsidP="00F80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0D1BBF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10h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  <w:tc>
          <w:tcPr>
            <w:tcW w:w="4962" w:type="dxa"/>
            <w:vAlign w:val="center"/>
          </w:tcPr>
          <w:p w:rsidR="000D1BBF" w:rsidRPr="00FB65E2" w:rsidRDefault="000D1BBF" w:rsidP="00CA42E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1: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798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Giới thiệu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nội dung cơ bản của</w:t>
            </w:r>
            <w:r w:rsidR="000137D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Luật Đất đai năm 2024 và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45BAE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ghị định </w:t>
            </w:r>
            <w:r w:rsidRPr="00FB65E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số 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103/2024/</w:t>
            </w:r>
            <w:r w:rsidR="000137D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NĐ-CP ngày 30/</w:t>
            </w:r>
            <w:r w:rsidR="00704C75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7/2024 củ</w:t>
            </w:r>
            <w:r w:rsidR="000137D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 </w:t>
            </w:r>
            <w:r w:rsidR="000137D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="00704C75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hính phủ 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liê</w:t>
            </w:r>
            <w:r w:rsidR="00CA42E0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 quan đến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tiền sử dụng đất, tiền thuê đất và một số nội dung </w:t>
            </w:r>
            <w:r w:rsidR="00CA42E0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lưu ý khi 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 khai thực hiện</w:t>
            </w:r>
          </w:p>
        </w:tc>
        <w:tc>
          <w:tcPr>
            <w:tcW w:w="2693" w:type="dxa"/>
            <w:vAlign w:val="center"/>
          </w:tcPr>
          <w:p w:rsidR="000D1BBF" w:rsidRPr="00FB65E2" w:rsidRDefault="000D1BBF" w:rsidP="007A3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Cục Quản lý công sản</w:t>
            </w:r>
          </w:p>
        </w:tc>
      </w:tr>
      <w:tr w:rsidR="000D1BBF" w:rsidRPr="00FB65E2" w:rsidTr="001F572B">
        <w:tc>
          <w:tcPr>
            <w:tcW w:w="1985" w:type="dxa"/>
            <w:vAlign w:val="center"/>
          </w:tcPr>
          <w:p w:rsidR="000D1BBF" w:rsidRPr="00FB65E2" w:rsidRDefault="006151CE" w:rsidP="00615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="000D1BBF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45</w:t>
            </w:r>
          </w:p>
        </w:tc>
        <w:tc>
          <w:tcPr>
            <w:tcW w:w="4962" w:type="dxa"/>
            <w:vAlign w:val="center"/>
          </w:tcPr>
          <w:p w:rsidR="000D1BBF" w:rsidRPr="00A365CF" w:rsidRDefault="000D1BBF" w:rsidP="00A1779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2: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1779D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thiệu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nội dung cơ bản của</w:t>
            </w:r>
            <w:r w:rsidR="00A1779D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Luật Đất đai năm 2024 và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1779D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ghị định </w:t>
            </w:r>
            <w:r w:rsidR="00A1779D" w:rsidRPr="00FB65E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số 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A1779D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/2024/NĐ-CP ngày 3</w:t>
            </w:r>
            <w:r w:rsidR="00A1779D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/7/2024 của </w:t>
            </w:r>
            <w:r w:rsidR="00A1779D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hính phủ </w:t>
            </w:r>
            <w:r w:rsidR="00A1779D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 quan đến</w:t>
            </w:r>
            <w:r w:rsidR="00A1779D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7F07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uỹ phát triển đất và </w:t>
            </w:r>
            <w:r w:rsidR="007E5FB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một số nội dung </w:t>
            </w:r>
            <w:r w:rsidR="007E5FB2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lưu ý khi </w:t>
            </w:r>
            <w:r w:rsidR="007E5FB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 khai thực hiện</w:t>
            </w:r>
          </w:p>
        </w:tc>
        <w:tc>
          <w:tcPr>
            <w:tcW w:w="2693" w:type="dxa"/>
            <w:vAlign w:val="center"/>
          </w:tcPr>
          <w:p w:rsidR="000D1BBF" w:rsidRPr="00FB65E2" w:rsidRDefault="000D1BBF" w:rsidP="007A3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Cục Quản lý công sản</w:t>
            </w:r>
          </w:p>
        </w:tc>
      </w:tr>
      <w:tr w:rsidR="000D1BBF" w:rsidRPr="00FB65E2" w:rsidTr="001F572B">
        <w:trPr>
          <w:trHeight w:val="463"/>
        </w:trPr>
        <w:tc>
          <w:tcPr>
            <w:tcW w:w="1985" w:type="dxa"/>
            <w:vAlign w:val="center"/>
          </w:tcPr>
          <w:p w:rsidR="000D1BBF" w:rsidRPr="00FB65E2" w:rsidRDefault="006151CE" w:rsidP="00F26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45</w:t>
            </w:r>
            <w:r w:rsidR="000D1BBF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F262E8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  <w:tc>
          <w:tcPr>
            <w:tcW w:w="4962" w:type="dxa"/>
            <w:vAlign w:val="center"/>
          </w:tcPr>
          <w:p w:rsidR="000D1BBF" w:rsidRPr="00FB65E2" w:rsidRDefault="00853158" w:rsidP="0027469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Trao đổi – Thảo luận</w:t>
            </w:r>
          </w:p>
        </w:tc>
        <w:tc>
          <w:tcPr>
            <w:tcW w:w="2693" w:type="dxa"/>
            <w:vAlign w:val="center"/>
          </w:tcPr>
          <w:p w:rsidR="000D1BBF" w:rsidRPr="00FB65E2" w:rsidRDefault="00853158" w:rsidP="005E3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Đại biểu</w:t>
            </w:r>
          </w:p>
        </w:tc>
      </w:tr>
    </w:tbl>
    <w:p w:rsidR="00853158" w:rsidRPr="00FB65E2" w:rsidRDefault="00853158" w:rsidP="00274692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847F07" w:rsidRPr="00A365CF" w:rsidRDefault="00274692" w:rsidP="00C438C7">
      <w:pPr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</w:pPr>
      <w:r w:rsidRPr="00A365CF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Chiề</w:t>
      </w:r>
      <w:r w:rsidR="00853158" w:rsidRPr="00A365CF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u</w:t>
      </w:r>
      <w:r w:rsidRPr="00A365CF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:</w:t>
      </w:r>
      <w:r w:rsidRPr="00A365CF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0C22C7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Triển khai</w:t>
      </w:r>
      <w:r w:rsidR="00C438C7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Tổng kiểm kê tài sản công tại cơ qu</w:t>
      </w:r>
      <w:r w:rsidR="00A365CF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a</w:t>
      </w:r>
      <w:r w:rsidR="00C438C7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n, tổ chức, đơn vị, tài sản kết cấu hạ tầng do Nhà nước đầu tư, quản lý</w:t>
      </w:r>
      <w:r w:rsidR="00C438C7" w:rsidRPr="00A365CF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.</w:t>
      </w:r>
    </w:p>
    <w:tbl>
      <w:tblPr>
        <w:tblStyle w:val="TableGrid"/>
        <w:tblW w:w="9640" w:type="dxa"/>
        <w:tblInd w:w="-176" w:type="dxa"/>
        <w:tblLook w:val="04A0"/>
      </w:tblPr>
      <w:tblGrid>
        <w:gridCol w:w="1985"/>
        <w:gridCol w:w="4962"/>
        <w:gridCol w:w="2693"/>
      </w:tblGrid>
      <w:tr w:rsidR="00433696" w:rsidRPr="00FB65E2" w:rsidTr="001F572B">
        <w:trPr>
          <w:trHeight w:val="325"/>
        </w:trPr>
        <w:tc>
          <w:tcPr>
            <w:tcW w:w="1985" w:type="dxa"/>
          </w:tcPr>
          <w:p w:rsidR="00433696" w:rsidRPr="00FB65E2" w:rsidRDefault="00433696" w:rsidP="004336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4962" w:type="dxa"/>
          </w:tcPr>
          <w:p w:rsidR="00433696" w:rsidRPr="00FB65E2" w:rsidRDefault="00433696" w:rsidP="004336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693" w:type="dxa"/>
          </w:tcPr>
          <w:p w:rsidR="00433696" w:rsidRPr="00FB65E2" w:rsidRDefault="00433696" w:rsidP="004336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 hiện</w:t>
            </w:r>
          </w:p>
        </w:tc>
      </w:tr>
      <w:tr w:rsidR="00433696" w:rsidRPr="00FB65E2" w:rsidTr="001F572B">
        <w:trPr>
          <w:trHeight w:val="465"/>
        </w:trPr>
        <w:tc>
          <w:tcPr>
            <w:tcW w:w="1985" w:type="dxa"/>
            <w:vAlign w:val="center"/>
          </w:tcPr>
          <w:p w:rsidR="00433696" w:rsidRPr="00FB65E2" w:rsidRDefault="001D05D1" w:rsidP="007E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13h</w:t>
            </w:r>
            <w:r w:rsidR="007E5FB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– 1</w:t>
            </w:r>
            <w:r w:rsidR="007E5FB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7E5FB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962" w:type="dxa"/>
            <w:vAlign w:val="center"/>
          </w:tcPr>
          <w:p w:rsidR="00433696" w:rsidRPr="00FB65E2" w:rsidRDefault="00433696" w:rsidP="004336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 tiếp đại biểu</w:t>
            </w:r>
          </w:p>
        </w:tc>
        <w:tc>
          <w:tcPr>
            <w:tcW w:w="2693" w:type="dxa"/>
            <w:vAlign w:val="center"/>
          </w:tcPr>
          <w:p w:rsidR="00433696" w:rsidRPr="00FB65E2" w:rsidRDefault="00433696" w:rsidP="005B2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 Tổ chức</w:t>
            </w:r>
          </w:p>
        </w:tc>
      </w:tr>
      <w:tr w:rsidR="00433696" w:rsidRPr="00FB65E2" w:rsidTr="001F572B">
        <w:tc>
          <w:tcPr>
            <w:tcW w:w="1985" w:type="dxa"/>
            <w:vAlign w:val="center"/>
          </w:tcPr>
          <w:p w:rsidR="00433696" w:rsidRPr="00FB65E2" w:rsidRDefault="003B3BEB" w:rsidP="003B3B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433696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05</w:t>
            </w:r>
          </w:p>
        </w:tc>
        <w:tc>
          <w:tcPr>
            <w:tcW w:w="4962" w:type="dxa"/>
            <w:vAlign w:val="center"/>
          </w:tcPr>
          <w:p w:rsidR="00433696" w:rsidRPr="00FB65E2" w:rsidRDefault="00433696" w:rsidP="004336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2693" w:type="dxa"/>
            <w:vAlign w:val="center"/>
          </w:tcPr>
          <w:p w:rsidR="00433696" w:rsidRPr="002C2A27" w:rsidRDefault="003B3BEB" w:rsidP="005B22E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2C2A27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Lãnh đạo Văn phòng Bộ/ Cục Quản lý công sản</w:t>
            </w:r>
          </w:p>
        </w:tc>
      </w:tr>
      <w:tr w:rsidR="00433696" w:rsidRPr="00FB65E2" w:rsidTr="001F572B">
        <w:tc>
          <w:tcPr>
            <w:tcW w:w="1985" w:type="dxa"/>
            <w:vAlign w:val="center"/>
          </w:tcPr>
          <w:p w:rsidR="00433696" w:rsidRPr="00FB65E2" w:rsidRDefault="006E3308" w:rsidP="003B5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05</w:t>
            </w:r>
            <w:r w:rsidR="00433696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7E3262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14h</w:t>
            </w:r>
            <w:r w:rsidR="003B535B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  <w:tc>
          <w:tcPr>
            <w:tcW w:w="4962" w:type="dxa"/>
            <w:vAlign w:val="center"/>
          </w:tcPr>
          <w:p w:rsidR="00433696" w:rsidRPr="00FB65E2" w:rsidRDefault="00433696" w:rsidP="002219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Khai mạc hội nghị</w:t>
            </w:r>
          </w:p>
        </w:tc>
        <w:tc>
          <w:tcPr>
            <w:tcW w:w="2693" w:type="dxa"/>
            <w:vAlign w:val="center"/>
          </w:tcPr>
          <w:p w:rsidR="00433696" w:rsidRPr="00FB65E2" w:rsidRDefault="00433696" w:rsidP="005B2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Bộ Tài chính</w:t>
            </w:r>
          </w:p>
        </w:tc>
      </w:tr>
      <w:tr w:rsidR="00433696" w:rsidRPr="00FB65E2" w:rsidTr="001F572B">
        <w:tc>
          <w:tcPr>
            <w:tcW w:w="1985" w:type="dxa"/>
            <w:vAlign w:val="center"/>
          </w:tcPr>
          <w:p w:rsidR="00433696" w:rsidRPr="00FB65E2" w:rsidRDefault="006E3308" w:rsidP="00C66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14h</w:t>
            </w:r>
            <w:r w:rsidR="003B535B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30</w:t>
            </w:r>
            <w:r w:rsidR="00433696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3B535B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E4F54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="003B535B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C6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4962" w:type="dxa"/>
            <w:vAlign w:val="center"/>
          </w:tcPr>
          <w:p w:rsidR="00433696" w:rsidRPr="00FB65E2" w:rsidRDefault="00433696" w:rsidP="00D07F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1: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66E3B" w:rsidRPr="00C6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thiệu</w:t>
            </w:r>
            <w:r w:rsidR="00914F81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14F81" w:rsidRPr="00A36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</w:t>
            </w:r>
            <w:r w:rsidR="00914F81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uyết định số 213/QĐ-TTg ngày 01/03/2024 của Thủ tướng Chính phủ về phê duyệt Đề án </w:t>
            </w:r>
            <w:r w:rsidR="00C66E3B" w:rsidRPr="00C6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Tổng kiểm kê </w:t>
            </w:r>
            <w:r w:rsidR="00914F81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tài sản công tại cơ qu</w:t>
            </w:r>
            <w:r w:rsidR="00D07FBD" w:rsidRPr="00D0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="00914F81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n, tổ chức, đơn vị, tài sản kết cấu hạ tầng do Nhà nước đầu tư, quản lý</w:t>
            </w:r>
          </w:p>
        </w:tc>
        <w:tc>
          <w:tcPr>
            <w:tcW w:w="2693" w:type="dxa"/>
            <w:vAlign w:val="center"/>
          </w:tcPr>
          <w:p w:rsidR="00433696" w:rsidRPr="00FB65E2" w:rsidRDefault="00433696" w:rsidP="005B2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Cục Quản lý công sản</w:t>
            </w:r>
          </w:p>
        </w:tc>
      </w:tr>
      <w:tr w:rsidR="00433696" w:rsidRPr="00FB65E2" w:rsidTr="001F572B">
        <w:tc>
          <w:tcPr>
            <w:tcW w:w="1985" w:type="dxa"/>
            <w:vAlign w:val="center"/>
          </w:tcPr>
          <w:p w:rsidR="00433696" w:rsidRPr="00FB65E2" w:rsidRDefault="00457FAD" w:rsidP="00C66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C6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</w:t>
            </w:r>
            <w:r w:rsidR="00433696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1</w:t>
            </w:r>
            <w:r w:rsidR="007E0317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  <w:r w:rsidR="00433696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C6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433696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962" w:type="dxa"/>
            <w:vAlign w:val="center"/>
          </w:tcPr>
          <w:p w:rsidR="00433696" w:rsidRPr="00FB65E2" w:rsidRDefault="00433696" w:rsidP="00D07F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2: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66E3B" w:rsidRPr="00C6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thiệu Văn bản</w:t>
            </w:r>
            <w:r w:rsidR="00914F81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số 8131/BTC-QLCS ngày 01/08/2024 về việc hướng dẫn thực hiện Tổng kiểm kê tài sản công tại cơ qu</w:t>
            </w:r>
            <w:r w:rsidR="00D07FBD" w:rsidRPr="00202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="00914F81"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n, tổ chức, đơn vị, tài sản kết cấu hạ tầng do Nhà nước đầu tư, quản lý</w:t>
            </w:r>
          </w:p>
        </w:tc>
        <w:tc>
          <w:tcPr>
            <w:tcW w:w="2693" w:type="dxa"/>
            <w:vAlign w:val="center"/>
          </w:tcPr>
          <w:p w:rsidR="00433696" w:rsidRPr="00FB65E2" w:rsidRDefault="00433696" w:rsidP="005B2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Cục Quản lý công sản</w:t>
            </w:r>
          </w:p>
        </w:tc>
      </w:tr>
      <w:tr w:rsidR="005E3C23" w:rsidRPr="00FB65E2" w:rsidTr="001F572B">
        <w:trPr>
          <w:trHeight w:val="445"/>
        </w:trPr>
        <w:tc>
          <w:tcPr>
            <w:tcW w:w="1985" w:type="dxa"/>
            <w:vAlign w:val="center"/>
          </w:tcPr>
          <w:p w:rsidR="005E3C23" w:rsidRPr="00FB65E2" w:rsidRDefault="005E3C23" w:rsidP="00C66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C6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– 1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h00</w:t>
            </w:r>
          </w:p>
        </w:tc>
        <w:tc>
          <w:tcPr>
            <w:tcW w:w="4962" w:type="dxa"/>
            <w:vAlign w:val="center"/>
          </w:tcPr>
          <w:p w:rsidR="005E3C23" w:rsidRPr="00FB65E2" w:rsidRDefault="005E3C23" w:rsidP="004336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Trao đổi – Thảo luận</w:t>
            </w:r>
          </w:p>
        </w:tc>
        <w:tc>
          <w:tcPr>
            <w:tcW w:w="2693" w:type="dxa"/>
            <w:vAlign w:val="center"/>
          </w:tcPr>
          <w:p w:rsidR="005E3C23" w:rsidRPr="00FB65E2" w:rsidRDefault="005E3C23" w:rsidP="005E3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B6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Đại biểu</w:t>
            </w:r>
          </w:p>
        </w:tc>
      </w:tr>
    </w:tbl>
    <w:p w:rsidR="00274692" w:rsidRPr="00FB65E2" w:rsidRDefault="00274692" w:rsidP="00274692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202509" w:rsidRDefault="00202509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br w:type="page"/>
      </w:r>
    </w:p>
    <w:p w:rsidR="00202509" w:rsidRPr="005D6258" w:rsidRDefault="00202509" w:rsidP="00202509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 w:rsidRPr="005D625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lastRenderedPageBreak/>
        <w:t>BỘ TÀI CHÍNH</w:t>
      </w:r>
    </w:p>
    <w:p w:rsidR="00202509" w:rsidRPr="005D6258" w:rsidRDefault="00202509" w:rsidP="00202509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</w:p>
    <w:p w:rsidR="00202509" w:rsidRPr="005D6258" w:rsidRDefault="00202509" w:rsidP="00202509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 w:rsidRPr="005D625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Đại biểu </w:t>
      </w:r>
      <w:r w:rsidR="00143FA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vui lòng </w:t>
      </w:r>
      <w:r w:rsidRPr="005D625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khai thác tài liệ</w:t>
      </w:r>
      <w:r w:rsidR="008867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u Hội nghị ngày 20/8/2024 </w:t>
      </w:r>
      <w:proofErr w:type="gramStart"/>
      <w:r w:rsidRPr="005D625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theo</w:t>
      </w:r>
      <w:proofErr w:type="gramEnd"/>
      <w:r w:rsidRPr="005D625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mã QR:</w:t>
      </w:r>
    </w:p>
    <w:p w:rsidR="00202509" w:rsidRDefault="00202509" w:rsidP="00202509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:rsidR="00202509" w:rsidRDefault="00202509" w:rsidP="00202509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:rsidR="00202509" w:rsidRDefault="00344CB8" w:rsidP="00202509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eastAsia="vi-VN"/>
        </w:rPr>
        <w:drawing>
          <wp:inline distT="0" distB="0" distL="0" distR="0">
            <wp:extent cx="1839432" cy="1839432"/>
            <wp:effectExtent l="19050" t="0" r="8418" b="0"/>
            <wp:docPr id="1" name="Picture 0" descr="QR tai lieu sang 20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tai lieu sang 20-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188" cy="184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09" w:rsidRDefault="00202509" w:rsidP="00202509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:rsidR="00202509" w:rsidRDefault="00202509" w:rsidP="00202509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:rsidR="00202509" w:rsidRDefault="00202509" w:rsidP="00202509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CC529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Buổi sáng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401E51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Nghị định 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</w:rPr>
        <w:t>quy định</w:t>
      </w:r>
      <w:r w:rsidRPr="00CC52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</w:rPr>
        <w:t>về tiền sử dụng đất, tiền thuê đất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và 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</w:rPr>
        <w:t>Quỹ phát triển đất</w:t>
      </w:r>
    </w:p>
    <w:p w:rsidR="00202509" w:rsidRDefault="00202509" w:rsidP="0020250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02509" w:rsidRDefault="00202509" w:rsidP="0020250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02509" w:rsidRDefault="00344CB8" w:rsidP="00344CB8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eastAsia="vi-VN"/>
        </w:rPr>
        <w:drawing>
          <wp:inline distT="0" distB="0" distL="0" distR="0">
            <wp:extent cx="1801495" cy="1801495"/>
            <wp:effectExtent l="19050" t="0" r="8255" b="0"/>
            <wp:docPr id="2" name="Picture 1" descr="QR tai lieu chieu 20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tai lieu chieu 20-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3" cy="180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09" w:rsidRDefault="00202509" w:rsidP="0020250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02509" w:rsidRDefault="00202509" w:rsidP="0020250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02509" w:rsidRPr="00344CB8" w:rsidRDefault="00202509" w:rsidP="00202509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02509" w:rsidRPr="00CC5297" w:rsidRDefault="00202509" w:rsidP="0020250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CC529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Buổi chiều:</w:t>
      </w:r>
      <w:r w:rsidRPr="00CC52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</w:rPr>
        <w:t>Tổng kiểm kê tài sản công tại cơ qu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</w:rPr>
        <w:t>n, tổ chức, đơn vị, tài sản kết cấu hạ tầng do Nhà nước đầu tư, quản lý</w:t>
      </w:r>
      <w:r w:rsidRPr="00CC529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202509" w:rsidRPr="00CC5297" w:rsidRDefault="00202509" w:rsidP="0020250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02509" w:rsidRPr="00CC5297" w:rsidRDefault="00202509" w:rsidP="0020250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74692" w:rsidRDefault="00274692" w:rsidP="00274692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:rsidR="00202509" w:rsidRPr="00BA5BCA" w:rsidRDefault="00202509" w:rsidP="00BA5BCA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sectPr w:rsidR="00202509" w:rsidRPr="00BA5BCA" w:rsidSect="00D45C7C">
      <w:pgSz w:w="11906" w:h="16838"/>
      <w:pgMar w:top="102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D200E"/>
    <w:rsid w:val="000137D2"/>
    <w:rsid w:val="000221E9"/>
    <w:rsid w:val="0003798E"/>
    <w:rsid w:val="00052608"/>
    <w:rsid w:val="000616CC"/>
    <w:rsid w:val="000B1006"/>
    <w:rsid w:val="000C1CD5"/>
    <w:rsid w:val="000C22C7"/>
    <w:rsid w:val="000C4DB0"/>
    <w:rsid w:val="000D1BBF"/>
    <w:rsid w:val="000D6235"/>
    <w:rsid w:val="000E4F54"/>
    <w:rsid w:val="00101179"/>
    <w:rsid w:val="00143FA1"/>
    <w:rsid w:val="00145436"/>
    <w:rsid w:val="00155CF2"/>
    <w:rsid w:val="0019034D"/>
    <w:rsid w:val="001D05D1"/>
    <w:rsid w:val="001E01B7"/>
    <w:rsid w:val="001F2A65"/>
    <w:rsid w:val="001F572B"/>
    <w:rsid w:val="00202509"/>
    <w:rsid w:val="00221968"/>
    <w:rsid w:val="00264CB6"/>
    <w:rsid w:val="0026602F"/>
    <w:rsid w:val="00271026"/>
    <w:rsid w:val="00274692"/>
    <w:rsid w:val="002A6093"/>
    <w:rsid w:val="002A62F6"/>
    <w:rsid w:val="002C2A27"/>
    <w:rsid w:val="002D200E"/>
    <w:rsid w:val="00316945"/>
    <w:rsid w:val="0032728F"/>
    <w:rsid w:val="00340CE0"/>
    <w:rsid w:val="00343620"/>
    <w:rsid w:val="00344CB8"/>
    <w:rsid w:val="003459D6"/>
    <w:rsid w:val="00372005"/>
    <w:rsid w:val="00387B90"/>
    <w:rsid w:val="00397D7C"/>
    <w:rsid w:val="003A09FF"/>
    <w:rsid w:val="003B3BEB"/>
    <w:rsid w:val="003B535B"/>
    <w:rsid w:val="003F0FE5"/>
    <w:rsid w:val="003F742F"/>
    <w:rsid w:val="00401E51"/>
    <w:rsid w:val="00433696"/>
    <w:rsid w:val="00457FAD"/>
    <w:rsid w:val="00475724"/>
    <w:rsid w:val="00494D39"/>
    <w:rsid w:val="004C4E9C"/>
    <w:rsid w:val="004D46CB"/>
    <w:rsid w:val="004D5BC5"/>
    <w:rsid w:val="00545BAE"/>
    <w:rsid w:val="00561A5F"/>
    <w:rsid w:val="005971C5"/>
    <w:rsid w:val="005A0D87"/>
    <w:rsid w:val="005A6D77"/>
    <w:rsid w:val="005B22E3"/>
    <w:rsid w:val="005C58FB"/>
    <w:rsid w:val="005C7E1D"/>
    <w:rsid w:val="005E3C23"/>
    <w:rsid w:val="005F4443"/>
    <w:rsid w:val="006115D7"/>
    <w:rsid w:val="006151CE"/>
    <w:rsid w:val="0063158A"/>
    <w:rsid w:val="006C1D5E"/>
    <w:rsid w:val="006C38ED"/>
    <w:rsid w:val="006C3CCA"/>
    <w:rsid w:val="006E3308"/>
    <w:rsid w:val="006E7758"/>
    <w:rsid w:val="006F2970"/>
    <w:rsid w:val="00700243"/>
    <w:rsid w:val="00704C75"/>
    <w:rsid w:val="00725C3D"/>
    <w:rsid w:val="00754B38"/>
    <w:rsid w:val="00765C3F"/>
    <w:rsid w:val="007A33FF"/>
    <w:rsid w:val="007E0317"/>
    <w:rsid w:val="007E1BBE"/>
    <w:rsid w:val="007E3262"/>
    <w:rsid w:val="007E5FB2"/>
    <w:rsid w:val="00832436"/>
    <w:rsid w:val="008353B2"/>
    <w:rsid w:val="00847F07"/>
    <w:rsid w:val="00853158"/>
    <w:rsid w:val="00870CB8"/>
    <w:rsid w:val="008770E4"/>
    <w:rsid w:val="008867EE"/>
    <w:rsid w:val="00890046"/>
    <w:rsid w:val="00891111"/>
    <w:rsid w:val="008A6D2B"/>
    <w:rsid w:val="008C0FCF"/>
    <w:rsid w:val="008C255A"/>
    <w:rsid w:val="008E7933"/>
    <w:rsid w:val="00914F81"/>
    <w:rsid w:val="00915CA8"/>
    <w:rsid w:val="00974B65"/>
    <w:rsid w:val="00994964"/>
    <w:rsid w:val="009D6A95"/>
    <w:rsid w:val="00A04911"/>
    <w:rsid w:val="00A1779D"/>
    <w:rsid w:val="00A24D07"/>
    <w:rsid w:val="00A2787B"/>
    <w:rsid w:val="00A365CF"/>
    <w:rsid w:val="00A50704"/>
    <w:rsid w:val="00A76E23"/>
    <w:rsid w:val="00A821FC"/>
    <w:rsid w:val="00AC4910"/>
    <w:rsid w:val="00AC5E76"/>
    <w:rsid w:val="00AD576C"/>
    <w:rsid w:val="00B27467"/>
    <w:rsid w:val="00B3455E"/>
    <w:rsid w:val="00B4432E"/>
    <w:rsid w:val="00B53957"/>
    <w:rsid w:val="00B64836"/>
    <w:rsid w:val="00B773A9"/>
    <w:rsid w:val="00B87749"/>
    <w:rsid w:val="00BA5BCA"/>
    <w:rsid w:val="00BD2E80"/>
    <w:rsid w:val="00C249A1"/>
    <w:rsid w:val="00C37CAF"/>
    <w:rsid w:val="00C438C7"/>
    <w:rsid w:val="00C46A77"/>
    <w:rsid w:val="00C66E3B"/>
    <w:rsid w:val="00CA42E0"/>
    <w:rsid w:val="00CF558D"/>
    <w:rsid w:val="00CF674D"/>
    <w:rsid w:val="00D07FBD"/>
    <w:rsid w:val="00D30DB4"/>
    <w:rsid w:val="00D43BA7"/>
    <w:rsid w:val="00D45C7C"/>
    <w:rsid w:val="00D6553B"/>
    <w:rsid w:val="00D66FE9"/>
    <w:rsid w:val="00D745B1"/>
    <w:rsid w:val="00D807FB"/>
    <w:rsid w:val="00DC7617"/>
    <w:rsid w:val="00DF2415"/>
    <w:rsid w:val="00DF38C9"/>
    <w:rsid w:val="00E037F6"/>
    <w:rsid w:val="00E131D3"/>
    <w:rsid w:val="00E44121"/>
    <w:rsid w:val="00E45829"/>
    <w:rsid w:val="00E57419"/>
    <w:rsid w:val="00E95273"/>
    <w:rsid w:val="00ED1C30"/>
    <w:rsid w:val="00EE2432"/>
    <w:rsid w:val="00F14F9D"/>
    <w:rsid w:val="00F226E8"/>
    <w:rsid w:val="00F262E8"/>
    <w:rsid w:val="00F2734D"/>
    <w:rsid w:val="00F37257"/>
    <w:rsid w:val="00F80CBE"/>
    <w:rsid w:val="00F96827"/>
    <w:rsid w:val="00FB369B"/>
    <w:rsid w:val="00FB65E2"/>
    <w:rsid w:val="00FC3E15"/>
    <w:rsid w:val="00FE1039"/>
    <w:rsid w:val="00FE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E"/>
  </w:style>
  <w:style w:type="paragraph" w:styleId="Heading1">
    <w:name w:val="heading 1"/>
    <w:basedOn w:val="Normal"/>
    <w:next w:val="Normal"/>
    <w:link w:val="Heading1Char"/>
    <w:uiPriority w:val="9"/>
    <w:qFormat/>
    <w:rsid w:val="002D2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0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89F53-D081-46B3-A21E-5613520F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Hòa Chính</dc:creator>
  <cp:lastModifiedBy>dangthihoa</cp:lastModifiedBy>
  <cp:revision>8</cp:revision>
  <cp:lastPrinted>2024-08-13T11:03:00Z</cp:lastPrinted>
  <dcterms:created xsi:type="dcterms:W3CDTF">2024-08-13T11:04:00Z</dcterms:created>
  <dcterms:modified xsi:type="dcterms:W3CDTF">2024-08-14T02:35:00Z</dcterms:modified>
</cp:coreProperties>
</file>